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445B" w14:textId="77777777" w:rsidR="006F7DE9" w:rsidRDefault="00922D04" w:rsidP="00922D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Lutheran Social Services of Wisconsin and Upper Michigan, Inc.</w:t>
      </w:r>
    </w:p>
    <w:p w14:paraId="0F4F4475" w14:textId="77777777" w:rsidR="00922D04" w:rsidRDefault="00922D04" w:rsidP="00922D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PREA Report</w:t>
      </w:r>
    </w:p>
    <w:p w14:paraId="6F01F778" w14:textId="24818842" w:rsidR="00922D04" w:rsidRDefault="00656E51" w:rsidP="00922D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Reporting Period:  </w:t>
      </w:r>
      <w:sdt>
        <w:sdtPr>
          <w:rPr>
            <w:b/>
            <w:sz w:val="28"/>
            <w:szCs w:val="28"/>
          </w:rPr>
          <w:id w:val="-1718042424"/>
          <w:placeholder>
            <w:docPart w:val="DefaultPlaceholder_1082065158"/>
          </w:placeholder>
        </w:sdtPr>
        <w:sdtEndPr/>
        <w:sdtContent>
          <w:r w:rsidR="0046486E">
            <w:rPr>
              <w:b/>
              <w:sz w:val="28"/>
              <w:szCs w:val="28"/>
            </w:rPr>
            <w:t>202</w:t>
          </w:r>
          <w:r w:rsidR="00A331D0">
            <w:rPr>
              <w:b/>
              <w:sz w:val="28"/>
              <w:szCs w:val="28"/>
            </w:rPr>
            <w:t>5</w:t>
          </w:r>
        </w:sdtContent>
      </w:sdt>
    </w:p>
    <w:p w14:paraId="397FB4EC" w14:textId="77777777" w:rsidR="00922D04" w:rsidRDefault="00922D04" w:rsidP="00922D04">
      <w:pPr>
        <w:spacing w:after="0" w:line="240" w:lineRule="auto"/>
      </w:pPr>
    </w:p>
    <w:p w14:paraId="734CA529" w14:textId="7A2C776A" w:rsidR="00922D04" w:rsidRDefault="00922D04" w:rsidP="00922D04">
      <w:pPr>
        <w:spacing w:after="0" w:line="240" w:lineRule="auto"/>
      </w:pPr>
      <w:r>
        <w:t xml:space="preserve">Lutheran Social Services (LSS) provides a variety of services to clients who are involved with correctional systems.  </w:t>
      </w:r>
      <w:proofErr w:type="gramStart"/>
      <w:r>
        <w:t>The majority of</w:t>
      </w:r>
      <w:proofErr w:type="gramEnd"/>
      <w:r>
        <w:t xml:space="preserve"> these clients have a substance use disorder (approximately 90%</w:t>
      </w:r>
      <w:r w:rsidR="00F9015D">
        <w:t>+</w:t>
      </w:r>
      <w:r>
        <w:t>) and are receiving addiction recover</w:t>
      </w:r>
      <w:r w:rsidR="00F9015D">
        <w:t>y</w:t>
      </w:r>
      <w:r>
        <w:t xml:space="preserve"> services.  </w:t>
      </w:r>
      <w:proofErr w:type="gramStart"/>
      <w:r>
        <w:t>All of</w:t>
      </w:r>
      <w:proofErr w:type="gramEnd"/>
      <w:r>
        <w:t xml:space="preserve"> these clients are also receiving services to address criminogenic risks and needs, as well as </w:t>
      </w:r>
      <w:proofErr w:type="gramStart"/>
      <w:r>
        <w:t>supports</w:t>
      </w:r>
      <w:proofErr w:type="gramEnd"/>
      <w:r>
        <w:t xml:space="preserve"> for successful community reintegration.  Services include screening, assessment, case management, wrap-around services, medically monitored treatment, transitional residential treatment, </w:t>
      </w:r>
      <w:r w:rsidR="00F9015D">
        <w:t xml:space="preserve">home confinement services for FBOP, </w:t>
      </w:r>
      <w:r>
        <w:t>and continuing care services.  Clients may be involved with the Wisconsin Department of Community Corrections, the United State Probation Office, or the Federal Bureau of Prisons.</w:t>
      </w:r>
    </w:p>
    <w:p w14:paraId="5E691785" w14:textId="77777777" w:rsidR="00922D04" w:rsidRDefault="00922D04" w:rsidP="00922D04">
      <w:pPr>
        <w:spacing w:after="0" w:line="240" w:lineRule="auto"/>
      </w:pPr>
    </w:p>
    <w:p w14:paraId="00B82C73" w14:textId="77777777" w:rsidR="00922D04" w:rsidRDefault="00922D04" w:rsidP="00922D04">
      <w:pPr>
        <w:spacing w:after="0" w:line="240" w:lineRule="auto"/>
      </w:pPr>
      <w:r>
        <w:t>This report addresses clients in programming at facilities falling under PREA (Prison Rape Elimination Act) requirements.  The residential facilities providing data for this report are:</w:t>
      </w:r>
    </w:p>
    <w:p w14:paraId="4A2367E6" w14:textId="78C8C4E8" w:rsidR="00103767" w:rsidRDefault="00103767" w:rsidP="00922D04">
      <w:pPr>
        <w:pStyle w:val="ListParagraph"/>
        <w:numPr>
          <w:ilvl w:val="0"/>
          <w:numId w:val="1"/>
        </w:numPr>
        <w:spacing w:after="0" w:line="240" w:lineRule="auto"/>
      </w:pPr>
      <w:r>
        <w:t>Aspen Center, Waukesha</w:t>
      </w:r>
    </w:p>
    <w:p w14:paraId="348DF72B" w14:textId="3FF58CB2" w:rsidR="00922D04" w:rsidRDefault="00922D04" w:rsidP="00922D04">
      <w:pPr>
        <w:pStyle w:val="ListParagraph"/>
        <w:numPr>
          <w:ilvl w:val="0"/>
          <w:numId w:val="1"/>
        </w:numPr>
        <w:spacing w:after="0" w:line="240" w:lineRule="auto"/>
      </w:pPr>
      <w:r>
        <w:t>Affinity House, Eau Claire</w:t>
      </w:r>
    </w:p>
    <w:p w14:paraId="454FF9B9" w14:textId="7CFB7CC4" w:rsidR="00325952" w:rsidRDefault="00325952" w:rsidP="00922D04">
      <w:pPr>
        <w:pStyle w:val="ListParagraph"/>
        <w:numPr>
          <w:ilvl w:val="0"/>
          <w:numId w:val="1"/>
        </w:numPr>
        <w:spacing w:after="0" w:line="240" w:lineRule="auto"/>
      </w:pPr>
      <w:r>
        <w:t>Barron Area Residential Treatment (BART), Barronett</w:t>
      </w:r>
      <w:r w:rsidR="00F9015D">
        <w:t xml:space="preserve"> – </w:t>
      </w:r>
      <w:proofErr w:type="gramStart"/>
      <w:r w:rsidR="00F9015D">
        <w:t>note:</w:t>
      </w:r>
      <w:proofErr w:type="gramEnd"/>
      <w:r w:rsidR="00F9015D">
        <w:t xml:space="preserve">  program closed 12/31/25</w:t>
      </w:r>
    </w:p>
    <w:p w14:paraId="3D6FA839" w14:textId="77777777" w:rsidR="00922D04" w:rsidRDefault="00922D04" w:rsidP="00922D04">
      <w:pPr>
        <w:pStyle w:val="ListParagraph"/>
        <w:numPr>
          <w:ilvl w:val="0"/>
          <w:numId w:val="1"/>
        </w:numPr>
        <w:spacing w:after="0" w:line="240" w:lineRule="auto"/>
      </w:pPr>
      <w:r>
        <w:t>Exodus House, Hudson</w:t>
      </w:r>
    </w:p>
    <w:p w14:paraId="7F9557B6" w14:textId="77777777" w:rsidR="00922D04" w:rsidRDefault="00922D04" w:rsidP="00922D04">
      <w:pPr>
        <w:pStyle w:val="ListParagraph"/>
        <w:numPr>
          <w:ilvl w:val="0"/>
          <w:numId w:val="1"/>
        </w:numPr>
        <w:spacing w:after="0" w:line="240" w:lineRule="auto"/>
      </w:pPr>
      <w:r>
        <w:t>Fahrman Center, Eau Claire</w:t>
      </w:r>
    </w:p>
    <w:p w14:paraId="1214581F" w14:textId="6C0F7AF4" w:rsidR="00F9015D" w:rsidRDefault="00F9015D" w:rsidP="00922D04">
      <w:pPr>
        <w:pStyle w:val="ListParagraph"/>
        <w:numPr>
          <w:ilvl w:val="0"/>
          <w:numId w:val="1"/>
        </w:numPr>
        <w:spacing w:after="0" w:line="240" w:lineRule="auto"/>
      </w:pPr>
      <w:r>
        <w:t>Recovery Center Oconomowoc – assumed operation July 1, 2025, formerly Bethany Recovery Center operated by Bethany Christian Services</w:t>
      </w:r>
    </w:p>
    <w:p w14:paraId="5437A5E7" w14:textId="77777777" w:rsidR="00B514C9" w:rsidRDefault="00B514C9" w:rsidP="00B514C9">
      <w:pPr>
        <w:spacing w:after="0" w:line="240" w:lineRule="auto"/>
      </w:pPr>
    </w:p>
    <w:p w14:paraId="4B472531" w14:textId="77777777" w:rsidR="00325952" w:rsidRDefault="00325952" w:rsidP="00325952">
      <w:pPr>
        <w:pStyle w:val="ListParagraph"/>
        <w:spacing w:after="0" w:line="240" w:lineRule="auto"/>
      </w:pPr>
    </w:p>
    <w:p w14:paraId="036AA1F8" w14:textId="77777777" w:rsidR="00922D04" w:rsidRDefault="00922D04" w:rsidP="00922D04">
      <w:pPr>
        <w:spacing w:after="0" w:line="240" w:lineRule="auto"/>
      </w:pPr>
    </w:p>
    <w:p w14:paraId="2CD4606A" w14:textId="4B35E788" w:rsidR="00922D04" w:rsidRPr="00103767" w:rsidRDefault="00922D04" w:rsidP="00922D04">
      <w:pPr>
        <w:spacing w:after="0" w:line="240" w:lineRule="auto"/>
      </w:pPr>
      <w:bookmarkStart w:id="0" w:name="_Hlk221086632"/>
      <w:r w:rsidRPr="00103767">
        <w:t xml:space="preserve">The average daily census for correctional clients at these facilities during the reporting period was      </w:t>
      </w:r>
    </w:p>
    <w:p w14:paraId="6A839A9F" w14:textId="052AC4C5" w:rsidR="00922D04" w:rsidRPr="00103767" w:rsidRDefault="00922D04" w:rsidP="00922D04">
      <w:pPr>
        <w:spacing w:after="0" w:line="240" w:lineRule="auto"/>
      </w:pPr>
      <w:r w:rsidRPr="00103767">
        <w:tab/>
        <w:t>Female Clients</w:t>
      </w:r>
      <w:r w:rsidRPr="00103767">
        <w:tab/>
      </w:r>
      <w:sdt>
        <w:sdtPr>
          <w:id w:val="-1641952503"/>
          <w:placeholder>
            <w:docPart w:val="DefaultPlaceholder_1082065158"/>
          </w:placeholder>
        </w:sdtPr>
        <w:sdtEndPr/>
        <w:sdtContent>
          <w:r w:rsidR="00F9015D">
            <w:t xml:space="preserve">   </w:t>
          </w:r>
          <w:r w:rsidR="00DE03E5">
            <w:t>Affinity House 15.74; RCO 11.71; Fahrman Center 3.93</w:t>
          </w:r>
          <w:r w:rsidR="00F9015D">
            <w:t xml:space="preserve">   </w:t>
          </w:r>
        </w:sdtContent>
      </w:sdt>
    </w:p>
    <w:p w14:paraId="55CFB6FA" w14:textId="528718EF" w:rsidR="00922D04" w:rsidRPr="00103767" w:rsidRDefault="00922D04" w:rsidP="00922D04">
      <w:pPr>
        <w:spacing w:after="0" w:line="240" w:lineRule="auto"/>
      </w:pPr>
      <w:r w:rsidRPr="00103767">
        <w:tab/>
        <w:t>Male Clients</w:t>
      </w:r>
      <w:r w:rsidRPr="00103767">
        <w:tab/>
      </w:r>
      <w:sdt>
        <w:sdtPr>
          <w:id w:val="-2027167636"/>
          <w:placeholder>
            <w:docPart w:val="DefaultPlaceholder_1082065158"/>
          </w:placeholder>
        </w:sdtPr>
        <w:sdtEndPr/>
        <w:sdtContent>
          <w:r w:rsidR="00F9015D">
            <w:t xml:space="preserve">  </w:t>
          </w:r>
          <w:r w:rsidR="00DE03E5">
            <w:t>Aspen 20.12; BART 5.13; Deep River 21.52; Exodus 4.21; Fahrman 28.27</w:t>
          </w:r>
          <w:r w:rsidR="00F9015D">
            <w:t xml:space="preserve">    </w:t>
          </w:r>
        </w:sdtContent>
      </w:sdt>
    </w:p>
    <w:p w14:paraId="1CAB8045" w14:textId="77777777" w:rsidR="00922D04" w:rsidRPr="00103767" w:rsidRDefault="00922D04" w:rsidP="00922D04">
      <w:pPr>
        <w:spacing w:after="0" w:line="240" w:lineRule="auto"/>
      </w:pPr>
    </w:p>
    <w:p w14:paraId="7A649CAC" w14:textId="77777777" w:rsidR="00922D04" w:rsidRPr="00103767" w:rsidRDefault="00922D04" w:rsidP="00922D04">
      <w:pPr>
        <w:spacing w:after="0" w:line="240" w:lineRule="auto"/>
      </w:pPr>
      <w:r w:rsidRPr="00103767">
        <w:t xml:space="preserve">The total number of correctional clients </w:t>
      </w:r>
      <w:r w:rsidR="00FA092D" w:rsidRPr="00103767">
        <w:t xml:space="preserve">admitted </w:t>
      </w:r>
      <w:r w:rsidRPr="00103767">
        <w:t xml:space="preserve">during the reporting period was </w:t>
      </w:r>
      <w:sdt>
        <w:sdtPr>
          <w:id w:val="1775447469"/>
          <w:placeholder>
            <w:docPart w:val="DefaultPlaceholder_1082065158"/>
          </w:placeholder>
          <w:showingPlcHdr/>
        </w:sdtPr>
        <w:sdtEndPr/>
        <w:sdtContent>
          <w:r w:rsidRPr="00103767">
            <w:rPr>
              <w:rStyle w:val="PlaceholderText"/>
            </w:rPr>
            <w:t>Click here to enter text.</w:t>
          </w:r>
        </w:sdtContent>
      </w:sdt>
    </w:p>
    <w:p w14:paraId="00DB68E0" w14:textId="5E46AE6F" w:rsidR="00922D04" w:rsidRPr="00103767" w:rsidRDefault="00922D04" w:rsidP="00922D04">
      <w:pPr>
        <w:spacing w:after="0" w:line="240" w:lineRule="auto"/>
      </w:pPr>
      <w:r w:rsidRPr="00103767">
        <w:tab/>
        <w:t>Female Clients</w:t>
      </w:r>
      <w:r w:rsidRPr="00103767">
        <w:tab/>
      </w:r>
      <w:sdt>
        <w:sdtPr>
          <w:id w:val="-346943591"/>
          <w:placeholder>
            <w:docPart w:val="B57A4849C62D4BDBB6C6BA51C4952611"/>
          </w:placeholder>
        </w:sdtPr>
        <w:sdtEndPr/>
        <w:sdtContent>
          <w:r w:rsidR="00F9015D">
            <w:t xml:space="preserve">   </w:t>
          </w:r>
          <w:r w:rsidR="001F2AC2">
            <w:t>148</w:t>
          </w:r>
          <w:r w:rsidR="00F9015D">
            <w:t xml:space="preserve">  </w:t>
          </w:r>
        </w:sdtContent>
      </w:sdt>
    </w:p>
    <w:p w14:paraId="7C530C8C" w14:textId="27C240F3" w:rsidR="00922D04" w:rsidRDefault="00922D04" w:rsidP="00922D04">
      <w:pPr>
        <w:spacing w:after="0" w:line="240" w:lineRule="auto"/>
      </w:pPr>
      <w:r w:rsidRPr="00103767">
        <w:tab/>
        <w:t>Male Clients</w:t>
      </w:r>
      <w:r w:rsidRPr="00103767">
        <w:tab/>
      </w:r>
      <w:sdt>
        <w:sdtPr>
          <w:id w:val="-1101328550"/>
          <w:placeholder>
            <w:docPart w:val="B57A4849C62D4BDBB6C6BA51C4952611"/>
          </w:placeholder>
        </w:sdtPr>
        <w:sdtEndPr/>
        <w:sdtContent>
          <w:r w:rsidR="00F9015D">
            <w:t xml:space="preserve">  </w:t>
          </w:r>
          <w:r w:rsidR="001F2AC2">
            <w:t>474</w:t>
          </w:r>
          <w:r w:rsidR="00F9015D">
            <w:t xml:space="preserve">    </w:t>
          </w:r>
        </w:sdtContent>
      </w:sdt>
    </w:p>
    <w:bookmarkEnd w:id="0"/>
    <w:p w14:paraId="19155963" w14:textId="77777777" w:rsidR="00922D04" w:rsidRDefault="00922D04" w:rsidP="00922D04">
      <w:pPr>
        <w:spacing w:after="0" w:line="240" w:lineRule="auto"/>
      </w:pPr>
    </w:p>
    <w:p w14:paraId="6312FA03" w14:textId="77777777" w:rsidR="00656E51" w:rsidRDefault="00656E51" w:rsidP="00922D04">
      <w:pPr>
        <w:spacing w:after="0" w:line="240" w:lineRule="auto"/>
      </w:pPr>
    </w:p>
    <w:p w14:paraId="6A0E3721" w14:textId="77777777" w:rsidR="00656E51" w:rsidRDefault="00656E51" w:rsidP="00922D04">
      <w:pPr>
        <w:spacing w:after="0" w:line="240" w:lineRule="auto"/>
      </w:pPr>
    </w:p>
    <w:p w14:paraId="28D9BC1F" w14:textId="77777777" w:rsidR="00DE03E5" w:rsidRDefault="00DE03E5" w:rsidP="00DE03E5">
      <w:pPr>
        <w:rPr>
          <w:rFonts w:ascii="Aptos" w:hAnsi="Aptos" w:cs="Aptos"/>
          <w14:ligatures w14:val="standardContextual"/>
        </w:rPr>
      </w:pPr>
    </w:p>
    <w:p w14:paraId="4412B200" w14:textId="77777777" w:rsidR="00DE03E5" w:rsidRDefault="00DE03E5" w:rsidP="00DE03E5"/>
    <w:p w14:paraId="3E65D85C" w14:textId="06F3F42D" w:rsidR="00656E51" w:rsidRDefault="00656E51" w:rsidP="00922D04">
      <w:pPr>
        <w:spacing w:after="0" w:line="240" w:lineRule="auto"/>
      </w:pPr>
    </w:p>
    <w:p w14:paraId="642A266C" w14:textId="77777777" w:rsidR="00656E51" w:rsidRDefault="00656E51" w:rsidP="00922D04">
      <w:pPr>
        <w:spacing w:after="0" w:line="240" w:lineRule="auto"/>
      </w:pPr>
    </w:p>
    <w:p w14:paraId="4010F7BE" w14:textId="77777777" w:rsidR="00656E51" w:rsidRDefault="00656E51" w:rsidP="00922D04">
      <w:pPr>
        <w:spacing w:after="0" w:line="240" w:lineRule="auto"/>
      </w:pPr>
    </w:p>
    <w:p w14:paraId="65FD0D30" w14:textId="77777777" w:rsidR="00656E51" w:rsidRDefault="00656E51" w:rsidP="00922D04">
      <w:pPr>
        <w:spacing w:after="0" w:line="240" w:lineRule="auto"/>
      </w:pPr>
    </w:p>
    <w:p w14:paraId="37EFCA1F" w14:textId="77777777" w:rsidR="00656E51" w:rsidRDefault="00656E51" w:rsidP="00922D04">
      <w:pPr>
        <w:spacing w:after="0" w:line="240" w:lineRule="auto"/>
      </w:pPr>
    </w:p>
    <w:p w14:paraId="0529DF62" w14:textId="77777777" w:rsidR="00656E51" w:rsidRDefault="00656E51" w:rsidP="00922D04">
      <w:pPr>
        <w:spacing w:after="0" w:line="240" w:lineRule="auto"/>
      </w:pPr>
    </w:p>
    <w:p w14:paraId="326B5718" w14:textId="77777777" w:rsidR="00656E51" w:rsidRDefault="00656E51" w:rsidP="00922D04">
      <w:pPr>
        <w:spacing w:after="0" w:line="240" w:lineRule="auto"/>
      </w:pPr>
    </w:p>
    <w:p w14:paraId="5AF8F8CD" w14:textId="77777777" w:rsidR="00656E51" w:rsidRDefault="00656E51" w:rsidP="00922D04">
      <w:pPr>
        <w:spacing w:after="0" w:line="240" w:lineRule="auto"/>
      </w:pPr>
    </w:p>
    <w:p w14:paraId="1C6DBC72" w14:textId="77777777" w:rsidR="00656E51" w:rsidRDefault="00656E51" w:rsidP="00922D04">
      <w:pPr>
        <w:spacing w:after="0" w:line="240" w:lineRule="auto"/>
      </w:pPr>
    </w:p>
    <w:p w14:paraId="3B06602B" w14:textId="77777777" w:rsidR="00656E51" w:rsidRDefault="00656E51" w:rsidP="00922D0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2"/>
        <w:gridCol w:w="3355"/>
        <w:gridCol w:w="2205"/>
      </w:tblGrid>
      <w:tr w:rsidR="00656E51" w14:paraId="727E9950" w14:textId="77777777" w:rsidTr="00830D22">
        <w:tc>
          <w:tcPr>
            <w:tcW w:w="9782" w:type="dxa"/>
            <w:gridSpan w:val="3"/>
            <w:shd w:val="clear" w:color="auto" w:fill="F2F2F2" w:themeFill="background1" w:themeFillShade="F2"/>
          </w:tcPr>
          <w:p w14:paraId="00CDCEAE" w14:textId="77777777" w:rsidR="00656E51" w:rsidRPr="00656E51" w:rsidRDefault="00656E51" w:rsidP="00656E51">
            <w:pPr>
              <w:jc w:val="center"/>
              <w:rPr>
                <w:b/>
              </w:rPr>
            </w:pPr>
            <w:r>
              <w:rPr>
                <w:b/>
              </w:rPr>
              <w:t>Resident-on-Resident Incidents Reported</w:t>
            </w:r>
          </w:p>
        </w:tc>
      </w:tr>
      <w:tr w:rsidR="00656E51" w14:paraId="131C2BB5" w14:textId="77777777" w:rsidTr="00830D22">
        <w:tc>
          <w:tcPr>
            <w:tcW w:w="4222" w:type="dxa"/>
          </w:tcPr>
          <w:p w14:paraId="7DCC836D" w14:textId="77777777" w:rsidR="00656E51" w:rsidRPr="00656E51" w:rsidRDefault="00656E51" w:rsidP="00656E51">
            <w:pPr>
              <w:jc w:val="center"/>
              <w:rPr>
                <w:b/>
              </w:rPr>
            </w:pPr>
            <w:r>
              <w:rPr>
                <w:b/>
              </w:rPr>
              <w:t>Incident Type</w:t>
            </w:r>
          </w:p>
        </w:tc>
        <w:tc>
          <w:tcPr>
            <w:tcW w:w="3355" w:type="dxa"/>
          </w:tcPr>
          <w:p w14:paraId="29DAF199" w14:textId="77777777" w:rsidR="00656E51" w:rsidRPr="00656E51" w:rsidRDefault="00656E51" w:rsidP="00656E51">
            <w:pPr>
              <w:jc w:val="center"/>
              <w:rPr>
                <w:b/>
              </w:rPr>
            </w:pPr>
            <w:r w:rsidRPr="00656E51">
              <w:rPr>
                <w:b/>
              </w:rPr>
              <w:t>Outcome of Investigation</w:t>
            </w:r>
          </w:p>
        </w:tc>
        <w:tc>
          <w:tcPr>
            <w:tcW w:w="2205" w:type="dxa"/>
          </w:tcPr>
          <w:p w14:paraId="4F733DF1" w14:textId="77777777" w:rsidR="00656E51" w:rsidRPr="00656E51" w:rsidRDefault="00656E51" w:rsidP="00656E51">
            <w:pPr>
              <w:jc w:val="center"/>
              <w:rPr>
                <w:b/>
              </w:rPr>
            </w:pPr>
            <w:r w:rsidRPr="00656E51">
              <w:rPr>
                <w:b/>
              </w:rPr>
              <w:t>Number of Incidents</w:t>
            </w:r>
          </w:p>
        </w:tc>
      </w:tr>
      <w:tr w:rsidR="00656E51" w14:paraId="12B2050F" w14:textId="77777777" w:rsidTr="00830D22">
        <w:tc>
          <w:tcPr>
            <w:tcW w:w="4222" w:type="dxa"/>
            <w:vMerge w:val="restart"/>
          </w:tcPr>
          <w:p w14:paraId="3AC57A79" w14:textId="77777777" w:rsidR="00656E51" w:rsidRDefault="00656E51" w:rsidP="00656E51">
            <w:r>
              <w:t xml:space="preserve">Resident-on-Resident Non-Consensual Sexual Acts </w:t>
            </w:r>
          </w:p>
        </w:tc>
        <w:tc>
          <w:tcPr>
            <w:tcW w:w="3355" w:type="dxa"/>
          </w:tcPr>
          <w:p w14:paraId="44F844E1" w14:textId="77777777" w:rsidR="00656E51" w:rsidRDefault="00656E51" w:rsidP="00656E51">
            <w:pPr>
              <w:jc w:val="center"/>
            </w:pPr>
            <w:r>
              <w:t>Substantiated</w:t>
            </w:r>
          </w:p>
        </w:tc>
        <w:tc>
          <w:tcPr>
            <w:tcW w:w="2205" w:type="dxa"/>
          </w:tcPr>
          <w:p w14:paraId="03774C2D" w14:textId="77777777" w:rsidR="00656E51" w:rsidRDefault="00656E51" w:rsidP="00656E51">
            <w:pPr>
              <w:jc w:val="center"/>
            </w:pPr>
          </w:p>
        </w:tc>
      </w:tr>
      <w:tr w:rsidR="00656E51" w14:paraId="6B9F0EC9" w14:textId="77777777" w:rsidTr="00830D22">
        <w:tc>
          <w:tcPr>
            <w:tcW w:w="4222" w:type="dxa"/>
            <w:vMerge/>
          </w:tcPr>
          <w:p w14:paraId="5278D874" w14:textId="77777777" w:rsidR="00656E51" w:rsidRDefault="00656E51" w:rsidP="00656E51"/>
        </w:tc>
        <w:tc>
          <w:tcPr>
            <w:tcW w:w="3355" w:type="dxa"/>
          </w:tcPr>
          <w:p w14:paraId="0114C957" w14:textId="77777777" w:rsidR="00656E51" w:rsidRDefault="00656E51">
            <w:pPr>
              <w:jc w:val="center"/>
            </w:pPr>
            <w:r>
              <w:t>Unsubstantiated</w:t>
            </w:r>
          </w:p>
        </w:tc>
        <w:tc>
          <w:tcPr>
            <w:tcW w:w="2205" w:type="dxa"/>
          </w:tcPr>
          <w:p w14:paraId="157CB100" w14:textId="77777777" w:rsidR="00656E51" w:rsidRDefault="00656E51" w:rsidP="00656E51">
            <w:pPr>
              <w:jc w:val="center"/>
            </w:pPr>
          </w:p>
        </w:tc>
      </w:tr>
      <w:tr w:rsidR="00656E51" w14:paraId="04412DBE" w14:textId="77777777" w:rsidTr="00830D22">
        <w:tc>
          <w:tcPr>
            <w:tcW w:w="4222" w:type="dxa"/>
            <w:vMerge/>
          </w:tcPr>
          <w:p w14:paraId="50072CCB" w14:textId="77777777" w:rsidR="00656E51" w:rsidRDefault="00656E51"/>
        </w:tc>
        <w:tc>
          <w:tcPr>
            <w:tcW w:w="3355" w:type="dxa"/>
          </w:tcPr>
          <w:p w14:paraId="3E4E3C0A" w14:textId="77777777" w:rsidR="00656E51" w:rsidRDefault="00656E51">
            <w:pPr>
              <w:jc w:val="center"/>
            </w:pPr>
            <w:r>
              <w:t>Unfounded</w:t>
            </w:r>
          </w:p>
        </w:tc>
        <w:tc>
          <w:tcPr>
            <w:tcW w:w="2205" w:type="dxa"/>
          </w:tcPr>
          <w:p w14:paraId="5A6232BC" w14:textId="77777777" w:rsidR="00656E51" w:rsidRDefault="00656E51" w:rsidP="00656E51">
            <w:pPr>
              <w:jc w:val="center"/>
            </w:pPr>
          </w:p>
        </w:tc>
      </w:tr>
      <w:tr w:rsidR="00656E51" w14:paraId="5DAFC476" w14:textId="77777777" w:rsidTr="00830D22">
        <w:tc>
          <w:tcPr>
            <w:tcW w:w="4222" w:type="dxa"/>
            <w:vMerge/>
          </w:tcPr>
          <w:p w14:paraId="53848486" w14:textId="77777777" w:rsidR="00656E51" w:rsidRDefault="00656E51"/>
        </w:tc>
        <w:tc>
          <w:tcPr>
            <w:tcW w:w="3355" w:type="dxa"/>
          </w:tcPr>
          <w:p w14:paraId="1DDCF2DB" w14:textId="77777777" w:rsidR="00656E51" w:rsidRDefault="00656E51" w:rsidP="00656E51">
            <w:pPr>
              <w:jc w:val="center"/>
            </w:pPr>
            <w:r>
              <w:t>Investigation Ongoing</w:t>
            </w:r>
          </w:p>
        </w:tc>
        <w:tc>
          <w:tcPr>
            <w:tcW w:w="2205" w:type="dxa"/>
          </w:tcPr>
          <w:p w14:paraId="405D7DCC" w14:textId="77777777" w:rsidR="00656E51" w:rsidRDefault="00656E51" w:rsidP="00656E51">
            <w:pPr>
              <w:jc w:val="center"/>
            </w:pPr>
          </w:p>
        </w:tc>
      </w:tr>
      <w:tr w:rsidR="00656E51" w14:paraId="0935D8E9" w14:textId="77777777" w:rsidTr="00830D22">
        <w:tc>
          <w:tcPr>
            <w:tcW w:w="4222" w:type="dxa"/>
            <w:vMerge w:val="restart"/>
          </w:tcPr>
          <w:p w14:paraId="3B10DC67" w14:textId="77777777" w:rsidR="00656E51" w:rsidRDefault="00656E51" w:rsidP="00656E51">
            <w:r>
              <w:t>Resident-on-Resident Abusive Sexual Contact</w:t>
            </w:r>
          </w:p>
        </w:tc>
        <w:tc>
          <w:tcPr>
            <w:tcW w:w="3355" w:type="dxa"/>
          </w:tcPr>
          <w:p w14:paraId="10E426B9" w14:textId="77777777" w:rsidR="00656E51" w:rsidRDefault="00656E51">
            <w:pPr>
              <w:jc w:val="center"/>
            </w:pPr>
            <w:r>
              <w:t>Substantiated</w:t>
            </w:r>
          </w:p>
        </w:tc>
        <w:tc>
          <w:tcPr>
            <w:tcW w:w="2205" w:type="dxa"/>
          </w:tcPr>
          <w:p w14:paraId="1BAE4FBD" w14:textId="02F879E2" w:rsidR="00656E51" w:rsidRDefault="00830D22" w:rsidP="00656E51">
            <w:pPr>
              <w:jc w:val="center"/>
            </w:pPr>
            <w:r>
              <w:t>1</w:t>
            </w:r>
          </w:p>
        </w:tc>
      </w:tr>
      <w:tr w:rsidR="00656E51" w14:paraId="3AF51D99" w14:textId="77777777" w:rsidTr="00830D22">
        <w:tc>
          <w:tcPr>
            <w:tcW w:w="4222" w:type="dxa"/>
            <w:vMerge/>
          </w:tcPr>
          <w:p w14:paraId="71CF0E8D" w14:textId="77777777" w:rsidR="00656E51" w:rsidRDefault="00656E51"/>
        </w:tc>
        <w:tc>
          <w:tcPr>
            <w:tcW w:w="3355" w:type="dxa"/>
          </w:tcPr>
          <w:p w14:paraId="2F6E21FF" w14:textId="77777777" w:rsidR="00656E51" w:rsidRDefault="00656E51">
            <w:pPr>
              <w:jc w:val="center"/>
            </w:pPr>
            <w:r>
              <w:t>Unsubstantiated</w:t>
            </w:r>
          </w:p>
        </w:tc>
        <w:tc>
          <w:tcPr>
            <w:tcW w:w="2205" w:type="dxa"/>
          </w:tcPr>
          <w:p w14:paraId="2F1B0755" w14:textId="181424B9" w:rsidR="00656E51" w:rsidRDefault="00656E51" w:rsidP="00656E51">
            <w:pPr>
              <w:jc w:val="center"/>
            </w:pPr>
          </w:p>
        </w:tc>
      </w:tr>
      <w:tr w:rsidR="00656E51" w14:paraId="4977989F" w14:textId="77777777" w:rsidTr="00830D22">
        <w:tc>
          <w:tcPr>
            <w:tcW w:w="4222" w:type="dxa"/>
            <w:vMerge/>
          </w:tcPr>
          <w:p w14:paraId="687D48A0" w14:textId="77777777" w:rsidR="00656E51" w:rsidRDefault="00656E51"/>
        </w:tc>
        <w:tc>
          <w:tcPr>
            <w:tcW w:w="3355" w:type="dxa"/>
          </w:tcPr>
          <w:p w14:paraId="29581E5C" w14:textId="77777777" w:rsidR="00656E51" w:rsidRDefault="00656E51">
            <w:pPr>
              <w:jc w:val="center"/>
            </w:pPr>
            <w:r>
              <w:t>Unfounded</w:t>
            </w:r>
          </w:p>
        </w:tc>
        <w:tc>
          <w:tcPr>
            <w:tcW w:w="2205" w:type="dxa"/>
          </w:tcPr>
          <w:p w14:paraId="3491690B" w14:textId="77777777" w:rsidR="00656E51" w:rsidRDefault="00656E51" w:rsidP="00656E51">
            <w:pPr>
              <w:jc w:val="center"/>
            </w:pPr>
          </w:p>
        </w:tc>
      </w:tr>
      <w:tr w:rsidR="00656E51" w14:paraId="1BAADA44" w14:textId="77777777" w:rsidTr="00830D22">
        <w:tc>
          <w:tcPr>
            <w:tcW w:w="4222" w:type="dxa"/>
            <w:vMerge/>
          </w:tcPr>
          <w:p w14:paraId="0C26EC7F" w14:textId="77777777" w:rsidR="00656E51" w:rsidRDefault="00656E51"/>
        </w:tc>
        <w:tc>
          <w:tcPr>
            <w:tcW w:w="3355" w:type="dxa"/>
          </w:tcPr>
          <w:p w14:paraId="4C4B8AB8" w14:textId="77777777" w:rsidR="00656E51" w:rsidRDefault="00656E51">
            <w:pPr>
              <w:jc w:val="center"/>
            </w:pPr>
            <w:r>
              <w:t>Investigation Ongoing</w:t>
            </w:r>
          </w:p>
        </w:tc>
        <w:tc>
          <w:tcPr>
            <w:tcW w:w="2205" w:type="dxa"/>
          </w:tcPr>
          <w:p w14:paraId="091592BC" w14:textId="77777777" w:rsidR="00656E51" w:rsidRDefault="00656E51" w:rsidP="00656E51">
            <w:pPr>
              <w:jc w:val="center"/>
            </w:pPr>
          </w:p>
        </w:tc>
      </w:tr>
      <w:tr w:rsidR="00656E51" w14:paraId="4A9DADF7" w14:textId="77777777" w:rsidTr="00830D22">
        <w:tc>
          <w:tcPr>
            <w:tcW w:w="4222" w:type="dxa"/>
            <w:vMerge w:val="restart"/>
          </w:tcPr>
          <w:p w14:paraId="04841D60" w14:textId="77777777" w:rsidR="00656E51" w:rsidRDefault="00656E51">
            <w:r>
              <w:t>Resident-on-Resident Sexual Harassment</w:t>
            </w:r>
          </w:p>
        </w:tc>
        <w:tc>
          <w:tcPr>
            <w:tcW w:w="3355" w:type="dxa"/>
          </w:tcPr>
          <w:p w14:paraId="5B67A7F7" w14:textId="77777777" w:rsidR="00656E51" w:rsidRDefault="00656E51">
            <w:pPr>
              <w:jc w:val="center"/>
            </w:pPr>
            <w:r>
              <w:t>Substantiated</w:t>
            </w:r>
          </w:p>
        </w:tc>
        <w:tc>
          <w:tcPr>
            <w:tcW w:w="2205" w:type="dxa"/>
          </w:tcPr>
          <w:p w14:paraId="32A3A27F" w14:textId="3DF83DA3" w:rsidR="00656E51" w:rsidRDefault="00656E51" w:rsidP="00656E51">
            <w:pPr>
              <w:jc w:val="center"/>
            </w:pPr>
          </w:p>
        </w:tc>
      </w:tr>
      <w:tr w:rsidR="00656E51" w14:paraId="167F09E0" w14:textId="77777777" w:rsidTr="00830D22">
        <w:tc>
          <w:tcPr>
            <w:tcW w:w="4222" w:type="dxa"/>
            <w:vMerge/>
          </w:tcPr>
          <w:p w14:paraId="1E27AFAE" w14:textId="77777777" w:rsidR="00656E51" w:rsidRDefault="00656E51"/>
        </w:tc>
        <w:tc>
          <w:tcPr>
            <w:tcW w:w="3355" w:type="dxa"/>
          </w:tcPr>
          <w:p w14:paraId="738B5C9B" w14:textId="77777777" w:rsidR="00656E51" w:rsidRDefault="00656E51">
            <w:pPr>
              <w:jc w:val="center"/>
            </w:pPr>
            <w:r>
              <w:t>Unsubstantiated</w:t>
            </w:r>
          </w:p>
        </w:tc>
        <w:tc>
          <w:tcPr>
            <w:tcW w:w="2205" w:type="dxa"/>
          </w:tcPr>
          <w:p w14:paraId="446CA191" w14:textId="77777777" w:rsidR="00656E51" w:rsidRDefault="00656E51" w:rsidP="00656E51">
            <w:pPr>
              <w:jc w:val="center"/>
            </w:pPr>
          </w:p>
        </w:tc>
      </w:tr>
      <w:tr w:rsidR="00656E51" w14:paraId="4C87E7D3" w14:textId="77777777" w:rsidTr="00830D22">
        <w:tc>
          <w:tcPr>
            <w:tcW w:w="4222" w:type="dxa"/>
            <w:vMerge/>
          </w:tcPr>
          <w:p w14:paraId="22AA93D1" w14:textId="77777777" w:rsidR="00656E51" w:rsidRDefault="00656E51"/>
        </w:tc>
        <w:tc>
          <w:tcPr>
            <w:tcW w:w="3355" w:type="dxa"/>
          </w:tcPr>
          <w:p w14:paraId="04F590AC" w14:textId="77777777" w:rsidR="00656E51" w:rsidRDefault="00656E51">
            <w:pPr>
              <w:jc w:val="center"/>
            </w:pPr>
            <w:r>
              <w:t>Unfounded</w:t>
            </w:r>
          </w:p>
        </w:tc>
        <w:tc>
          <w:tcPr>
            <w:tcW w:w="2205" w:type="dxa"/>
          </w:tcPr>
          <w:p w14:paraId="5BBBBE7F" w14:textId="77777777" w:rsidR="00656E51" w:rsidRDefault="00656E51" w:rsidP="00656E51">
            <w:pPr>
              <w:jc w:val="center"/>
            </w:pPr>
          </w:p>
        </w:tc>
      </w:tr>
      <w:tr w:rsidR="00656E51" w14:paraId="289C9910" w14:textId="77777777" w:rsidTr="00830D22">
        <w:tc>
          <w:tcPr>
            <w:tcW w:w="4222" w:type="dxa"/>
            <w:vMerge/>
          </w:tcPr>
          <w:p w14:paraId="14D573C1" w14:textId="77777777" w:rsidR="00656E51" w:rsidRDefault="00656E51"/>
        </w:tc>
        <w:tc>
          <w:tcPr>
            <w:tcW w:w="3355" w:type="dxa"/>
          </w:tcPr>
          <w:p w14:paraId="5BC66E61" w14:textId="77777777" w:rsidR="00656E51" w:rsidRDefault="00656E51">
            <w:pPr>
              <w:jc w:val="center"/>
            </w:pPr>
            <w:r>
              <w:t>Investigation Ongoing</w:t>
            </w:r>
          </w:p>
        </w:tc>
        <w:tc>
          <w:tcPr>
            <w:tcW w:w="2205" w:type="dxa"/>
          </w:tcPr>
          <w:p w14:paraId="66857313" w14:textId="77777777" w:rsidR="00656E51" w:rsidRDefault="00656E51" w:rsidP="00656E51">
            <w:pPr>
              <w:jc w:val="center"/>
            </w:pPr>
          </w:p>
        </w:tc>
      </w:tr>
      <w:tr w:rsidR="00656E51" w14:paraId="028D0112" w14:textId="77777777" w:rsidTr="00830D22">
        <w:tc>
          <w:tcPr>
            <w:tcW w:w="7577" w:type="dxa"/>
            <w:gridSpan w:val="2"/>
          </w:tcPr>
          <w:p w14:paraId="1AA8C9A4" w14:textId="77777777" w:rsidR="00656E51" w:rsidRDefault="00656E51" w:rsidP="00656E51">
            <w:r>
              <w:t>Total Resident Incidents Reported</w:t>
            </w:r>
          </w:p>
        </w:tc>
        <w:tc>
          <w:tcPr>
            <w:tcW w:w="2205" w:type="dxa"/>
          </w:tcPr>
          <w:p w14:paraId="584C4F59" w14:textId="77777777" w:rsidR="00656E51" w:rsidRDefault="00656E51" w:rsidP="00656E51">
            <w:pPr>
              <w:jc w:val="center"/>
            </w:pPr>
          </w:p>
        </w:tc>
      </w:tr>
      <w:tr w:rsidR="00656E51" w14:paraId="13BD70CD" w14:textId="77777777" w:rsidTr="00830D22">
        <w:tc>
          <w:tcPr>
            <w:tcW w:w="9782" w:type="dxa"/>
            <w:gridSpan w:val="3"/>
            <w:shd w:val="clear" w:color="auto" w:fill="F2F2F2" w:themeFill="background1" w:themeFillShade="F2"/>
          </w:tcPr>
          <w:p w14:paraId="766ECD0D" w14:textId="77777777" w:rsidR="00656E51" w:rsidRPr="00656E51" w:rsidRDefault="00656E51" w:rsidP="00656E51">
            <w:pPr>
              <w:jc w:val="center"/>
              <w:rPr>
                <w:b/>
              </w:rPr>
            </w:pPr>
            <w:r>
              <w:rPr>
                <w:b/>
              </w:rPr>
              <w:t>Staff Incidents</w:t>
            </w:r>
          </w:p>
        </w:tc>
      </w:tr>
      <w:tr w:rsidR="00656E51" w14:paraId="472CF39F" w14:textId="77777777" w:rsidTr="00830D22">
        <w:tc>
          <w:tcPr>
            <w:tcW w:w="4222" w:type="dxa"/>
            <w:vMerge w:val="restart"/>
          </w:tcPr>
          <w:p w14:paraId="659D2370" w14:textId="77777777" w:rsidR="00656E51" w:rsidRDefault="00656E51">
            <w:r>
              <w:t>Staff Sexual Misconduct</w:t>
            </w:r>
          </w:p>
        </w:tc>
        <w:tc>
          <w:tcPr>
            <w:tcW w:w="3355" w:type="dxa"/>
          </w:tcPr>
          <w:p w14:paraId="58657E04" w14:textId="77777777" w:rsidR="00656E51" w:rsidRDefault="00656E51">
            <w:pPr>
              <w:jc w:val="center"/>
            </w:pPr>
            <w:r>
              <w:t>Substantiated</w:t>
            </w:r>
          </w:p>
        </w:tc>
        <w:tc>
          <w:tcPr>
            <w:tcW w:w="2205" w:type="dxa"/>
          </w:tcPr>
          <w:p w14:paraId="48A042BC" w14:textId="77777777" w:rsidR="00656E51" w:rsidRDefault="00656E51" w:rsidP="00656E51">
            <w:pPr>
              <w:jc w:val="center"/>
            </w:pPr>
          </w:p>
        </w:tc>
      </w:tr>
      <w:tr w:rsidR="00656E51" w14:paraId="621301A6" w14:textId="77777777" w:rsidTr="00830D22">
        <w:tc>
          <w:tcPr>
            <w:tcW w:w="4222" w:type="dxa"/>
            <w:vMerge/>
          </w:tcPr>
          <w:p w14:paraId="228B05FC" w14:textId="77777777" w:rsidR="00656E51" w:rsidRDefault="00656E51"/>
        </w:tc>
        <w:tc>
          <w:tcPr>
            <w:tcW w:w="3355" w:type="dxa"/>
          </w:tcPr>
          <w:p w14:paraId="4A716B9D" w14:textId="77777777" w:rsidR="00656E51" w:rsidRDefault="00656E51">
            <w:pPr>
              <w:jc w:val="center"/>
            </w:pPr>
            <w:r>
              <w:t>Unsubstantiated</w:t>
            </w:r>
          </w:p>
        </w:tc>
        <w:tc>
          <w:tcPr>
            <w:tcW w:w="2205" w:type="dxa"/>
          </w:tcPr>
          <w:p w14:paraId="7C3A426B" w14:textId="72B4C54A" w:rsidR="00656E51" w:rsidRDefault="00830D22" w:rsidP="00656E51">
            <w:pPr>
              <w:jc w:val="center"/>
            </w:pPr>
            <w:r>
              <w:t>1</w:t>
            </w:r>
          </w:p>
        </w:tc>
      </w:tr>
      <w:tr w:rsidR="00656E51" w14:paraId="0E067A34" w14:textId="77777777" w:rsidTr="00830D22">
        <w:tc>
          <w:tcPr>
            <w:tcW w:w="4222" w:type="dxa"/>
            <w:vMerge/>
          </w:tcPr>
          <w:p w14:paraId="0E332409" w14:textId="77777777" w:rsidR="00656E51" w:rsidRDefault="00656E51"/>
        </w:tc>
        <w:tc>
          <w:tcPr>
            <w:tcW w:w="3355" w:type="dxa"/>
          </w:tcPr>
          <w:p w14:paraId="5AFA21DE" w14:textId="77777777" w:rsidR="00656E51" w:rsidRDefault="00656E51">
            <w:pPr>
              <w:jc w:val="center"/>
            </w:pPr>
            <w:r>
              <w:t>Unfounded</w:t>
            </w:r>
          </w:p>
        </w:tc>
        <w:tc>
          <w:tcPr>
            <w:tcW w:w="2205" w:type="dxa"/>
          </w:tcPr>
          <w:p w14:paraId="48F22F1E" w14:textId="11688B4D" w:rsidR="00656E51" w:rsidRDefault="00830D22" w:rsidP="00656E51">
            <w:pPr>
              <w:jc w:val="center"/>
            </w:pPr>
            <w:r>
              <w:t>1</w:t>
            </w:r>
          </w:p>
        </w:tc>
      </w:tr>
      <w:tr w:rsidR="00656E51" w14:paraId="364DAD37" w14:textId="77777777" w:rsidTr="00830D22">
        <w:tc>
          <w:tcPr>
            <w:tcW w:w="4222" w:type="dxa"/>
            <w:vMerge/>
          </w:tcPr>
          <w:p w14:paraId="298ACA60" w14:textId="77777777" w:rsidR="00656E51" w:rsidRDefault="00656E51"/>
        </w:tc>
        <w:tc>
          <w:tcPr>
            <w:tcW w:w="3355" w:type="dxa"/>
          </w:tcPr>
          <w:p w14:paraId="4C82822A" w14:textId="77777777" w:rsidR="00656E51" w:rsidRDefault="00656E51">
            <w:pPr>
              <w:jc w:val="center"/>
            </w:pPr>
            <w:r>
              <w:t>Investigation Ongoing</w:t>
            </w:r>
          </w:p>
        </w:tc>
        <w:tc>
          <w:tcPr>
            <w:tcW w:w="2205" w:type="dxa"/>
          </w:tcPr>
          <w:p w14:paraId="45C8756D" w14:textId="273C37F0" w:rsidR="00656E51" w:rsidRDefault="00656E51" w:rsidP="00656E51">
            <w:pPr>
              <w:jc w:val="center"/>
            </w:pPr>
          </w:p>
        </w:tc>
      </w:tr>
      <w:tr w:rsidR="00656E51" w14:paraId="60BA3D44" w14:textId="77777777" w:rsidTr="00830D22">
        <w:tc>
          <w:tcPr>
            <w:tcW w:w="4222" w:type="dxa"/>
            <w:vMerge w:val="restart"/>
          </w:tcPr>
          <w:p w14:paraId="5CFAEFEB" w14:textId="77777777" w:rsidR="00656E51" w:rsidRDefault="00656E51">
            <w:r>
              <w:t>Staff Sexual Harassment</w:t>
            </w:r>
          </w:p>
        </w:tc>
        <w:tc>
          <w:tcPr>
            <w:tcW w:w="3355" w:type="dxa"/>
          </w:tcPr>
          <w:p w14:paraId="21D2FB84" w14:textId="77777777" w:rsidR="00656E51" w:rsidRDefault="00656E51">
            <w:pPr>
              <w:jc w:val="center"/>
            </w:pPr>
            <w:r>
              <w:t>Substantiated</w:t>
            </w:r>
          </w:p>
        </w:tc>
        <w:tc>
          <w:tcPr>
            <w:tcW w:w="2205" w:type="dxa"/>
          </w:tcPr>
          <w:p w14:paraId="3607B512" w14:textId="77777777" w:rsidR="00656E51" w:rsidRDefault="00656E51" w:rsidP="00656E51">
            <w:pPr>
              <w:jc w:val="center"/>
            </w:pPr>
          </w:p>
        </w:tc>
      </w:tr>
      <w:tr w:rsidR="00656E51" w14:paraId="711AA18D" w14:textId="77777777" w:rsidTr="00830D22">
        <w:tc>
          <w:tcPr>
            <w:tcW w:w="4222" w:type="dxa"/>
            <w:vMerge/>
          </w:tcPr>
          <w:p w14:paraId="63CD4FB7" w14:textId="77777777" w:rsidR="00656E51" w:rsidRDefault="00656E51"/>
        </w:tc>
        <w:tc>
          <w:tcPr>
            <w:tcW w:w="3355" w:type="dxa"/>
          </w:tcPr>
          <w:p w14:paraId="5677FC8A" w14:textId="77777777" w:rsidR="00656E51" w:rsidRDefault="00656E51">
            <w:pPr>
              <w:jc w:val="center"/>
            </w:pPr>
            <w:r>
              <w:t>Unsubstantiated</w:t>
            </w:r>
          </w:p>
        </w:tc>
        <w:tc>
          <w:tcPr>
            <w:tcW w:w="2205" w:type="dxa"/>
          </w:tcPr>
          <w:p w14:paraId="54202AE6" w14:textId="77777777" w:rsidR="00656E51" w:rsidRDefault="00656E51" w:rsidP="00656E51">
            <w:pPr>
              <w:jc w:val="center"/>
            </w:pPr>
          </w:p>
        </w:tc>
      </w:tr>
      <w:tr w:rsidR="00656E51" w14:paraId="1279B1CA" w14:textId="77777777" w:rsidTr="00830D22">
        <w:tc>
          <w:tcPr>
            <w:tcW w:w="4222" w:type="dxa"/>
            <w:vMerge/>
          </w:tcPr>
          <w:p w14:paraId="25B4A2EC" w14:textId="77777777" w:rsidR="00656E51" w:rsidRDefault="00656E51"/>
        </w:tc>
        <w:tc>
          <w:tcPr>
            <w:tcW w:w="3355" w:type="dxa"/>
          </w:tcPr>
          <w:p w14:paraId="1DDB0596" w14:textId="77777777" w:rsidR="00656E51" w:rsidRDefault="00656E51">
            <w:pPr>
              <w:jc w:val="center"/>
            </w:pPr>
            <w:r>
              <w:t>Unfounded</w:t>
            </w:r>
          </w:p>
        </w:tc>
        <w:tc>
          <w:tcPr>
            <w:tcW w:w="2205" w:type="dxa"/>
          </w:tcPr>
          <w:p w14:paraId="76721AC3" w14:textId="77777777" w:rsidR="00656E51" w:rsidRDefault="00656E51" w:rsidP="00656E51">
            <w:pPr>
              <w:jc w:val="center"/>
            </w:pPr>
          </w:p>
        </w:tc>
      </w:tr>
      <w:tr w:rsidR="00656E51" w14:paraId="70326717" w14:textId="77777777" w:rsidTr="00830D22">
        <w:tc>
          <w:tcPr>
            <w:tcW w:w="4222" w:type="dxa"/>
            <w:vMerge/>
          </w:tcPr>
          <w:p w14:paraId="61A64B1A" w14:textId="77777777" w:rsidR="00656E51" w:rsidRDefault="00656E51"/>
        </w:tc>
        <w:tc>
          <w:tcPr>
            <w:tcW w:w="3355" w:type="dxa"/>
          </w:tcPr>
          <w:p w14:paraId="439C118A" w14:textId="77777777" w:rsidR="00656E51" w:rsidRDefault="00656E51">
            <w:pPr>
              <w:jc w:val="center"/>
            </w:pPr>
            <w:r>
              <w:t>Investigation Ongoing</w:t>
            </w:r>
          </w:p>
        </w:tc>
        <w:tc>
          <w:tcPr>
            <w:tcW w:w="2205" w:type="dxa"/>
          </w:tcPr>
          <w:p w14:paraId="5559C6F4" w14:textId="77777777" w:rsidR="00656E51" w:rsidRDefault="00656E51" w:rsidP="00656E51">
            <w:pPr>
              <w:jc w:val="center"/>
            </w:pPr>
          </w:p>
        </w:tc>
      </w:tr>
      <w:tr w:rsidR="00656E51" w14:paraId="10CE056A" w14:textId="77777777" w:rsidTr="00830D22">
        <w:tc>
          <w:tcPr>
            <w:tcW w:w="7577" w:type="dxa"/>
            <w:gridSpan w:val="2"/>
          </w:tcPr>
          <w:p w14:paraId="58A9BF23" w14:textId="77777777" w:rsidR="00656E51" w:rsidRDefault="00656E51" w:rsidP="00656E51">
            <w:r>
              <w:t>Total Staff Incidents Reported</w:t>
            </w:r>
          </w:p>
        </w:tc>
        <w:tc>
          <w:tcPr>
            <w:tcW w:w="2205" w:type="dxa"/>
          </w:tcPr>
          <w:p w14:paraId="03167D35" w14:textId="77777777" w:rsidR="00656E51" w:rsidRDefault="00656E51" w:rsidP="00656E51">
            <w:pPr>
              <w:jc w:val="center"/>
            </w:pPr>
          </w:p>
        </w:tc>
      </w:tr>
    </w:tbl>
    <w:p w14:paraId="4AB27EF6" w14:textId="77777777" w:rsidR="00656E51" w:rsidRDefault="00656E51" w:rsidP="00922D04">
      <w:pPr>
        <w:spacing w:after="0" w:line="240" w:lineRule="auto"/>
      </w:pPr>
    </w:p>
    <w:p w14:paraId="5BC85275" w14:textId="77777777" w:rsidR="00830D22" w:rsidRDefault="00830D22" w:rsidP="00922D04">
      <w:pPr>
        <w:spacing w:after="0" w:line="240" w:lineRule="auto"/>
      </w:pPr>
    </w:p>
    <w:p w14:paraId="3CBD90D7" w14:textId="23D6D922" w:rsidR="00656E51" w:rsidRDefault="00656E51" w:rsidP="006F7DE9">
      <w:pPr>
        <w:shd w:val="clear" w:color="auto" w:fill="DBE5F1" w:themeFill="accent1" w:themeFillTint="33"/>
        <w:spacing w:after="0" w:line="240" w:lineRule="auto"/>
      </w:pPr>
      <w:r>
        <w:t xml:space="preserve">Progress on PREA Audit requirements:  </w:t>
      </w:r>
      <w:r w:rsidR="00F9015D">
        <w:t xml:space="preserve">2 </w:t>
      </w:r>
      <w:r w:rsidR="00103767">
        <w:t>Facilities had PREA audits in 202</w:t>
      </w:r>
      <w:r w:rsidR="00F9015D">
        <w:t>5</w:t>
      </w:r>
      <w:r w:rsidR="00103767">
        <w:t>.</w:t>
      </w:r>
    </w:p>
    <w:p w14:paraId="2F151ACA" w14:textId="6542F1EC" w:rsidR="00103767" w:rsidRDefault="00F9015D" w:rsidP="00103767">
      <w:pPr>
        <w:pStyle w:val="ListParagraph"/>
        <w:numPr>
          <w:ilvl w:val="0"/>
          <w:numId w:val="6"/>
        </w:numPr>
        <w:shd w:val="clear" w:color="auto" w:fill="DBE5F1" w:themeFill="accent1" w:themeFillTint="33"/>
        <w:spacing w:after="0" w:line="240" w:lineRule="auto"/>
      </w:pPr>
      <w:r>
        <w:t>Affinity House</w:t>
      </w:r>
    </w:p>
    <w:p w14:paraId="63078DA5" w14:textId="483BB979" w:rsidR="00F9015D" w:rsidRDefault="00F9015D" w:rsidP="00103767">
      <w:pPr>
        <w:pStyle w:val="ListParagraph"/>
        <w:numPr>
          <w:ilvl w:val="0"/>
          <w:numId w:val="6"/>
        </w:numPr>
        <w:shd w:val="clear" w:color="auto" w:fill="DBE5F1" w:themeFill="accent1" w:themeFillTint="33"/>
        <w:spacing w:after="0" w:line="240" w:lineRule="auto"/>
      </w:pPr>
      <w:r>
        <w:t>Deep River</w:t>
      </w:r>
    </w:p>
    <w:p w14:paraId="6B4C4FE4" w14:textId="77777777" w:rsidR="00103767" w:rsidRDefault="00103767" w:rsidP="00103767">
      <w:pPr>
        <w:shd w:val="clear" w:color="auto" w:fill="DBE5F1" w:themeFill="accent1" w:themeFillTint="33"/>
        <w:spacing w:after="0" w:line="240" w:lineRule="auto"/>
      </w:pPr>
    </w:p>
    <w:p w14:paraId="6815F8C6" w14:textId="6B2040F8" w:rsidR="00103767" w:rsidRDefault="00F9015D" w:rsidP="00103767">
      <w:pPr>
        <w:shd w:val="clear" w:color="auto" w:fill="DBE5F1" w:themeFill="accent1" w:themeFillTint="33"/>
        <w:spacing w:after="0" w:line="240" w:lineRule="auto"/>
      </w:pPr>
      <w:r>
        <w:t>Both</w:t>
      </w:r>
      <w:r w:rsidR="00103767">
        <w:t xml:space="preserve"> audits result</w:t>
      </w:r>
      <w:r w:rsidR="00227CD3">
        <w:t>ed</w:t>
      </w:r>
      <w:r w:rsidR="00103767">
        <w:t xml:space="preserve"> in </w:t>
      </w:r>
      <w:r w:rsidR="00DE03E5">
        <w:t>no findings</w:t>
      </w:r>
      <w:r w:rsidR="00103767">
        <w:t xml:space="preserve"> or Corrective Actions.</w:t>
      </w:r>
    </w:p>
    <w:p w14:paraId="111B71B6" w14:textId="77777777" w:rsidR="00103767" w:rsidRDefault="00103767" w:rsidP="00103767">
      <w:pPr>
        <w:shd w:val="clear" w:color="auto" w:fill="DBE5F1" w:themeFill="accent1" w:themeFillTint="33"/>
        <w:spacing w:after="0" w:line="240" w:lineRule="auto"/>
      </w:pPr>
    </w:p>
    <w:p w14:paraId="6A078AD3" w14:textId="14C39750" w:rsidR="00103767" w:rsidRDefault="00103767" w:rsidP="00103767">
      <w:pPr>
        <w:shd w:val="clear" w:color="auto" w:fill="DBE5F1" w:themeFill="accent1" w:themeFillTint="33"/>
        <w:spacing w:after="0" w:line="240" w:lineRule="auto"/>
      </w:pPr>
      <w:r>
        <w:t xml:space="preserve">LSS Addictions/Restorative Justice Program continue to provide ongoing refresher trainings regarding various aspects of PREA, continue to complete PREA screening at 3 days post admission and again within 30 days of admission, and provide full training to all new hires </w:t>
      </w:r>
      <w:proofErr w:type="gramStart"/>
      <w:r>
        <w:t>in regard to</w:t>
      </w:r>
      <w:proofErr w:type="gramEnd"/>
      <w:r>
        <w:t xml:space="preserve"> PREA requirements and terminology.  </w:t>
      </w:r>
    </w:p>
    <w:p w14:paraId="0591B1A4" w14:textId="77777777" w:rsidR="00830D22" w:rsidRDefault="00830D22" w:rsidP="00103767">
      <w:pPr>
        <w:shd w:val="clear" w:color="auto" w:fill="DBE5F1" w:themeFill="accent1" w:themeFillTint="33"/>
        <w:spacing w:after="0" w:line="240" w:lineRule="auto"/>
      </w:pPr>
    </w:p>
    <w:p w14:paraId="7E824B43" w14:textId="12708A98" w:rsidR="00830D22" w:rsidRDefault="00830D22" w:rsidP="00103767">
      <w:pPr>
        <w:shd w:val="clear" w:color="auto" w:fill="DBE5F1" w:themeFill="accent1" w:themeFillTint="33"/>
        <w:spacing w:after="0" w:line="240" w:lineRule="auto"/>
      </w:pPr>
      <w:r>
        <w:t xml:space="preserve">All residents are provided with information pertaining to PREA via the Notice to Residents.  They </w:t>
      </w:r>
      <w:r w:rsidR="00DE03E5">
        <w:t>are provided with this</w:t>
      </w:r>
      <w:r>
        <w:t xml:space="preserve"> document in their </w:t>
      </w:r>
      <w:proofErr w:type="gramStart"/>
      <w:r>
        <w:t>Handbooks</w:t>
      </w:r>
      <w:proofErr w:type="gramEnd"/>
      <w:r>
        <w:t xml:space="preserve"> and the document is also posted at the facilities.  </w:t>
      </w:r>
    </w:p>
    <w:p w14:paraId="1716DCB1" w14:textId="77777777" w:rsidR="001842A6" w:rsidRDefault="001842A6" w:rsidP="00103767">
      <w:pPr>
        <w:shd w:val="clear" w:color="auto" w:fill="DBE5F1" w:themeFill="accent1" w:themeFillTint="33"/>
        <w:spacing w:after="0" w:line="240" w:lineRule="auto"/>
      </w:pPr>
    </w:p>
    <w:p w14:paraId="73BFEC9D" w14:textId="706EECD2" w:rsidR="001842A6" w:rsidRDefault="001842A6" w:rsidP="00103767">
      <w:pPr>
        <w:shd w:val="clear" w:color="auto" w:fill="DBE5F1" w:themeFill="accent1" w:themeFillTint="33"/>
        <w:spacing w:after="0" w:line="240" w:lineRule="auto"/>
      </w:pPr>
      <w:r>
        <w:t xml:space="preserve">Two facilities will be audited in spring 2026:  Aspen Center and Recovery Center Oconomowoc (RCO).  </w:t>
      </w:r>
    </w:p>
    <w:p w14:paraId="4F6A4A0B" w14:textId="77777777" w:rsidR="00656E51" w:rsidRDefault="00656E51" w:rsidP="00922D04">
      <w:pPr>
        <w:spacing w:after="0" w:line="240" w:lineRule="auto"/>
      </w:pPr>
    </w:p>
    <w:p w14:paraId="3BA75BD7" w14:textId="77777777" w:rsidR="00656E51" w:rsidRDefault="00656E51" w:rsidP="00922D04">
      <w:pPr>
        <w:spacing w:after="0" w:line="240" w:lineRule="auto"/>
      </w:pPr>
    </w:p>
    <w:p w14:paraId="1E7B2AC3" w14:textId="77777777" w:rsidR="00656E51" w:rsidRDefault="00656E51" w:rsidP="00922D04">
      <w:pPr>
        <w:spacing w:after="0" w:line="240" w:lineRule="auto"/>
      </w:pPr>
    </w:p>
    <w:p w14:paraId="762444A4" w14:textId="77777777" w:rsidR="00656E51" w:rsidRDefault="00656E51" w:rsidP="00922D04">
      <w:pPr>
        <w:spacing w:after="0" w:line="240" w:lineRule="auto"/>
      </w:pPr>
    </w:p>
    <w:sectPr w:rsidR="00656E51" w:rsidSect="00922D04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236C"/>
    <w:multiLevelType w:val="hybridMultilevel"/>
    <w:tmpl w:val="261E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7B9A"/>
    <w:multiLevelType w:val="hybridMultilevel"/>
    <w:tmpl w:val="46C2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C0E5A"/>
    <w:multiLevelType w:val="multilevel"/>
    <w:tmpl w:val="441A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25492"/>
    <w:multiLevelType w:val="hybridMultilevel"/>
    <w:tmpl w:val="5C12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75F48"/>
    <w:multiLevelType w:val="multilevel"/>
    <w:tmpl w:val="441A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809CF"/>
    <w:multiLevelType w:val="hybridMultilevel"/>
    <w:tmpl w:val="DF34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68754">
    <w:abstractNumId w:val="1"/>
  </w:num>
  <w:num w:numId="2" w16cid:durableId="1724595848">
    <w:abstractNumId w:val="5"/>
  </w:num>
  <w:num w:numId="3" w16cid:durableId="415784443">
    <w:abstractNumId w:val="3"/>
  </w:num>
  <w:num w:numId="4" w16cid:durableId="2015111054">
    <w:abstractNumId w:val="4"/>
  </w:num>
  <w:num w:numId="5" w16cid:durableId="350104557">
    <w:abstractNumId w:val="2"/>
  </w:num>
  <w:num w:numId="6" w16cid:durableId="175971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04"/>
    <w:rsid w:val="00103767"/>
    <w:rsid w:val="001842A6"/>
    <w:rsid w:val="001E3D06"/>
    <w:rsid w:val="001F2AC2"/>
    <w:rsid w:val="00227CD3"/>
    <w:rsid w:val="0024045C"/>
    <w:rsid w:val="00325952"/>
    <w:rsid w:val="00332CE9"/>
    <w:rsid w:val="003973E1"/>
    <w:rsid w:val="0046486E"/>
    <w:rsid w:val="004F6FD5"/>
    <w:rsid w:val="00656E51"/>
    <w:rsid w:val="006F7DE9"/>
    <w:rsid w:val="008302E7"/>
    <w:rsid w:val="00830D22"/>
    <w:rsid w:val="00905DC3"/>
    <w:rsid w:val="00922D04"/>
    <w:rsid w:val="00A331D0"/>
    <w:rsid w:val="00B42A1C"/>
    <w:rsid w:val="00B514C9"/>
    <w:rsid w:val="00B5253C"/>
    <w:rsid w:val="00D60893"/>
    <w:rsid w:val="00D741C5"/>
    <w:rsid w:val="00D74610"/>
    <w:rsid w:val="00D94D39"/>
    <w:rsid w:val="00DE03E5"/>
    <w:rsid w:val="00F62A9C"/>
    <w:rsid w:val="00F9015D"/>
    <w:rsid w:val="00FA092D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C79B"/>
  <w15:docId w15:val="{160F386D-4134-442E-AD8A-13B1EAAB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D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2D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D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7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5F4-83EE-4CFB-84DB-6E4065630810}"/>
      </w:docPartPr>
      <w:docPartBody>
        <w:p w:rsidR="00F3438D" w:rsidRDefault="00D5498C">
          <w:r w:rsidRPr="00D0254C">
            <w:rPr>
              <w:rStyle w:val="PlaceholderText"/>
            </w:rPr>
            <w:t>Click here to enter text.</w:t>
          </w:r>
        </w:p>
      </w:docPartBody>
    </w:docPart>
    <w:docPart>
      <w:docPartPr>
        <w:name w:val="B57A4849C62D4BDBB6C6BA51C4952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C750-7819-4043-996F-45CF510E5DFD}"/>
      </w:docPartPr>
      <w:docPartBody>
        <w:p w:rsidR="00F3438D" w:rsidRDefault="00D5498C" w:rsidP="00D5498C">
          <w:pPr>
            <w:pStyle w:val="B57A4849C62D4BDBB6C6BA51C4952611"/>
          </w:pPr>
          <w:r w:rsidRPr="00D025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98C"/>
    <w:rsid w:val="00220B75"/>
    <w:rsid w:val="00332CE9"/>
    <w:rsid w:val="004F6FD5"/>
    <w:rsid w:val="006B096E"/>
    <w:rsid w:val="00905DC3"/>
    <w:rsid w:val="00D5498C"/>
    <w:rsid w:val="00D74610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98C"/>
    <w:rPr>
      <w:color w:val="808080"/>
    </w:rPr>
  </w:style>
  <w:style w:type="paragraph" w:customStyle="1" w:styleId="B57A4849C62D4BDBB6C6BA51C4952611">
    <w:name w:val="B57A4849C62D4BDBB6C6BA51C4952611"/>
    <w:rsid w:val="00D549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140a22-02e7-46a3-8765-295ddd2012e9" xsi:nil="true"/>
    <lcf76f155ced4ddcb4097134ff3c332f xmlns="1f2b0729-8925-4587-9314-6051386791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C5A85C566564DAA2EC8A55D4C95F1" ma:contentTypeVersion="11" ma:contentTypeDescription="Create a new document." ma:contentTypeScope="" ma:versionID="9f7c4f5af2499e9c96e3d3f764b5b38e">
  <xsd:schema xmlns:xsd="http://www.w3.org/2001/XMLSchema" xmlns:xs="http://www.w3.org/2001/XMLSchema" xmlns:p="http://schemas.microsoft.com/office/2006/metadata/properties" xmlns:ns2="1f2b0729-8925-4587-9314-6051386791da" xmlns:ns3="34140a22-02e7-46a3-8765-295ddd2012e9" targetNamespace="http://schemas.microsoft.com/office/2006/metadata/properties" ma:root="true" ma:fieldsID="9d092582dcc565f7377f7dcafcf9033c" ns2:_="" ns3:_="">
    <xsd:import namespace="1f2b0729-8925-4587-9314-6051386791da"/>
    <xsd:import namespace="34140a22-02e7-46a3-8765-295ddd2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b0729-8925-4587-9314-60513867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7b440cf-0e7c-46a7-926a-5871a1e5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40a22-02e7-46a3-8765-295ddd2012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9c8425-9052-48ff-aa95-1f7a7468528a}" ma:internalName="TaxCatchAll" ma:showField="CatchAllData" ma:web="34140a22-02e7-46a3-8765-295ddd2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ADE60-DD59-4607-ADA1-00872CF405B5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1f2b0729-8925-4587-9314-6051386791da"/>
    <ds:schemaRef ds:uri="http://purl.org/dc/terms/"/>
    <ds:schemaRef ds:uri="34140a22-02e7-46a3-8765-295ddd2012e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01C989-3AD1-4CB0-919E-395550BA6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14BD7-2854-4A2F-A00A-39B136EA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b0729-8925-4587-9314-6051386791da"/>
    <ds:schemaRef ds:uri="34140a22-02e7-46a3-8765-295ddd2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2909</Characters>
  <Application>Microsoft Office Word</Application>
  <DocSecurity>0</DocSecurity>
  <Lines>161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Lessard</dc:creator>
  <cp:keywords/>
  <dc:description/>
  <cp:lastModifiedBy>Laurie Lessard</cp:lastModifiedBy>
  <cp:revision>2</cp:revision>
  <dcterms:created xsi:type="dcterms:W3CDTF">2026-03-09T14:14:00Z</dcterms:created>
  <dcterms:modified xsi:type="dcterms:W3CDTF">2026-03-09T14:14:00Z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0x01010093DC5A85C566564DAA2EC8A55D4C95F1</vt:lpwstr>
  </property>
  <property fmtid="{D5CDD505-2E9C-101B-9397-08002B2CF9AE}" pid="3" name="MediaServiceImageTags">
    <vt:lpwstr/>
  </property>
</Properties>
</file>